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7B" w:rsidRDefault="0008797B" w:rsidP="00087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8797B" w:rsidRDefault="0008797B" w:rsidP="00087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08797B" w:rsidRDefault="0008797B" w:rsidP="0008797B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>
          <w:rPr>
            <w:b/>
            <w:sz w:val="32"/>
            <w:szCs w:val="32"/>
          </w:rPr>
          <w:t>ЕГОРЛЫКСКИЙ РАЙОН</w:t>
        </w:r>
      </w:smartTag>
    </w:p>
    <w:p w:rsidR="0008797B" w:rsidRDefault="0008797B" w:rsidP="0008797B">
      <w:pPr>
        <w:jc w:val="center"/>
        <w:rPr>
          <w:b/>
          <w:sz w:val="32"/>
          <w:szCs w:val="32"/>
        </w:rPr>
      </w:pPr>
    </w:p>
    <w:p w:rsidR="0008797B" w:rsidRDefault="0008797B" w:rsidP="0008797B">
      <w:pPr>
        <w:jc w:val="center"/>
      </w:pPr>
      <w:r>
        <w:t>СОБРАНИЕ ДЕПУТАТОВ КАВАЛЕРСКОГО СЕЛЬСКОГО ПОСЕЛЕНИЯ</w:t>
      </w:r>
    </w:p>
    <w:p w:rsidR="0008797B" w:rsidRDefault="0008797B" w:rsidP="0008797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162"/>
        <w:gridCol w:w="1294"/>
        <w:gridCol w:w="3088"/>
      </w:tblGrid>
      <w:tr w:rsidR="0008797B" w:rsidTr="0008797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8797B" w:rsidRDefault="0008797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08797B" w:rsidTr="0008797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97B" w:rsidRDefault="0008797B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</w:tr>
      <w:tr w:rsidR="0008797B" w:rsidTr="0008797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797B" w:rsidRDefault="00D714A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13 октября</w:t>
            </w:r>
            <w:r w:rsidR="009806D5">
              <w:rPr>
                <w:b/>
                <w:bCs/>
                <w:sz w:val="28"/>
                <w:szCs w:val="28"/>
              </w:rPr>
              <w:t xml:space="preserve"> 2021</w:t>
            </w:r>
            <w:r w:rsidR="0008797B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797B" w:rsidRDefault="0008797B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  <w:r w:rsidR="00D714A2">
              <w:rPr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7B" w:rsidRDefault="0008797B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797B" w:rsidRDefault="0008797B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Кавалерский</w:t>
            </w:r>
          </w:p>
        </w:tc>
      </w:tr>
    </w:tbl>
    <w:p w:rsidR="001A454A" w:rsidRDefault="001A454A" w:rsidP="001A454A">
      <w:pPr>
        <w:pStyle w:val="ConsTitle"/>
        <w:widowControl/>
        <w:tabs>
          <w:tab w:val="left" w:pos="7440"/>
        </w:tabs>
        <w:spacing w:line="228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A454A">
        <w:rPr>
          <w:b/>
          <w:bCs/>
          <w:color w:val="000000"/>
          <w:sz w:val="28"/>
          <w:szCs w:val="28"/>
        </w:rPr>
        <w:t>Кавалерского</w:t>
      </w:r>
      <w:r w:rsidR="00DA5AAC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Default="00D03C14" w:rsidP="00DA5AAC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717921" w:rsidRPr="00717921">
        <w:rPr>
          <w:color w:val="000000"/>
          <w:sz w:val="28"/>
          <w:szCs w:val="28"/>
        </w:rPr>
        <w:t>Устава муниципального образования</w:t>
      </w:r>
      <w:r w:rsidR="001A454A">
        <w:rPr>
          <w:color w:val="000000"/>
          <w:sz w:val="28"/>
          <w:szCs w:val="28"/>
        </w:rPr>
        <w:t xml:space="preserve"> Собрание депутатов Кавалерского</w:t>
      </w:r>
      <w:r w:rsidR="00DA5AAC">
        <w:rPr>
          <w:color w:val="000000"/>
          <w:sz w:val="28"/>
          <w:szCs w:val="28"/>
        </w:rPr>
        <w:t xml:space="preserve"> сельского поселения решило</w:t>
      </w:r>
      <w:r w:rsidRPr="00700821">
        <w:rPr>
          <w:sz w:val="28"/>
          <w:szCs w:val="28"/>
        </w:rPr>
        <w:t>:</w:t>
      </w:r>
    </w:p>
    <w:p w:rsidR="00DA5AAC" w:rsidRPr="00700821" w:rsidRDefault="00DA5AAC" w:rsidP="00DA5AA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1A454A">
        <w:rPr>
          <w:color w:val="000000"/>
          <w:sz w:val="28"/>
          <w:szCs w:val="28"/>
        </w:rPr>
        <w:t>Кавалерского</w:t>
      </w:r>
      <w:r w:rsidR="00DA5AAC">
        <w:rPr>
          <w:color w:val="000000"/>
          <w:sz w:val="28"/>
          <w:szCs w:val="28"/>
        </w:rPr>
        <w:t xml:space="preserve"> сельского поселения согласно приложению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1A454A">
        <w:rPr>
          <w:color w:val="000000"/>
          <w:sz w:val="28"/>
          <w:szCs w:val="28"/>
        </w:rPr>
        <w:t xml:space="preserve">Кавалерского </w:t>
      </w:r>
      <w:r w:rsidR="00DA5AAC">
        <w:rPr>
          <w:color w:val="000000"/>
          <w:sz w:val="28"/>
          <w:szCs w:val="28"/>
        </w:rPr>
        <w:t>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1A454A">
        <w:rPr>
          <w:color w:val="000000"/>
          <w:sz w:val="28"/>
          <w:szCs w:val="28"/>
        </w:rPr>
        <w:t xml:space="preserve">Кавалерского </w:t>
      </w:r>
      <w:r w:rsidR="00DA5AAC">
        <w:rPr>
          <w:color w:val="000000"/>
          <w:sz w:val="28"/>
          <w:szCs w:val="28"/>
        </w:rPr>
        <w:t xml:space="preserve">сельского поселения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902169" w:rsidRDefault="001A454A" w:rsidP="001A45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5C16">
        <w:rPr>
          <w:sz w:val="28"/>
          <w:szCs w:val="28"/>
        </w:rPr>
        <w:t xml:space="preserve">Председатель Собрания депутатов </w:t>
      </w:r>
      <w:r w:rsidR="00902169">
        <w:rPr>
          <w:sz w:val="28"/>
          <w:szCs w:val="28"/>
        </w:rPr>
        <w:t>–</w:t>
      </w:r>
      <w:r w:rsidRPr="001E5C16">
        <w:rPr>
          <w:sz w:val="28"/>
          <w:szCs w:val="28"/>
        </w:rPr>
        <w:t xml:space="preserve"> </w:t>
      </w:r>
    </w:p>
    <w:p w:rsidR="00DA5AAC" w:rsidRDefault="00902169" w:rsidP="009021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454A" w:rsidRPr="001E5C16">
        <w:rPr>
          <w:sz w:val="28"/>
          <w:szCs w:val="28"/>
        </w:rPr>
        <w:t xml:space="preserve">Кавалерского сельского поселения                        </w:t>
      </w:r>
      <w:r w:rsidR="001A454A">
        <w:rPr>
          <w:sz w:val="28"/>
          <w:szCs w:val="28"/>
        </w:rPr>
        <w:t xml:space="preserve">                 М.Ф. Коваленко</w:t>
      </w:r>
    </w:p>
    <w:p w:rsidR="00DA5AAC" w:rsidRDefault="00DA5AAC" w:rsidP="00DA5AAC">
      <w:pPr>
        <w:jc w:val="both"/>
        <w:rPr>
          <w:sz w:val="28"/>
          <w:szCs w:val="28"/>
        </w:rPr>
      </w:pPr>
    </w:p>
    <w:p w:rsidR="001A454A" w:rsidRDefault="001A454A" w:rsidP="00DA5AAC">
      <w:pPr>
        <w:jc w:val="both"/>
        <w:rPr>
          <w:sz w:val="28"/>
          <w:szCs w:val="28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902169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A5AAC" w:rsidRPr="00902169" w:rsidRDefault="00DA5AAC" w:rsidP="00D03C14">
      <w:pPr>
        <w:ind w:firstLine="567"/>
        <w:jc w:val="right"/>
        <w:rPr>
          <w:color w:val="000000"/>
        </w:rPr>
      </w:pPr>
      <w:r w:rsidRPr="00902169">
        <w:rPr>
          <w:color w:val="000000"/>
        </w:rPr>
        <w:t xml:space="preserve">Приложение </w:t>
      </w:r>
    </w:p>
    <w:p w:rsidR="00DA5AAC" w:rsidRPr="00902169" w:rsidRDefault="00DA5AAC" w:rsidP="00D03C14">
      <w:pPr>
        <w:ind w:firstLine="567"/>
        <w:jc w:val="right"/>
        <w:rPr>
          <w:color w:val="000000"/>
        </w:rPr>
      </w:pPr>
      <w:r w:rsidRPr="00902169">
        <w:rPr>
          <w:color w:val="000000"/>
        </w:rPr>
        <w:t>к решен</w:t>
      </w:r>
      <w:r w:rsidR="001A454A" w:rsidRPr="00902169">
        <w:rPr>
          <w:color w:val="000000"/>
        </w:rPr>
        <w:t>ию Собрания депутатов Кавалерского</w:t>
      </w:r>
      <w:r w:rsidRPr="00902169">
        <w:rPr>
          <w:color w:val="000000"/>
        </w:rPr>
        <w:t xml:space="preserve"> сельского поселения </w:t>
      </w:r>
    </w:p>
    <w:p w:rsidR="00D03C14" w:rsidRPr="00902169" w:rsidRDefault="00DA5AAC" w:rsidP="00D03C14">
      <w:pPr>
        <w:ind w:firstLine="567"/>
        <w:jc w:val="right"/>
        <w:rPr>
          <w:color w:val="000000"/>
        </w:rPr>
      </w:pPr>
      <w:r w:rsidRPr="00902169">
        <w:rPr>
          <w:color w:val="000000"/>
        </w:rPr>
        <w:t xml:space="preserve">от </w:t>
      </w:r>
      <w:r w:rsidR="00D714A2">
        <w:rPr>
          <w:color w:val="000000"/>
        </w:rPr>
        <w:t>13.10</w:t>
      </w:r>
      <w:bookmarkStart w:id="0" w:name="_GoBack"/>
      <w:bookmarkEnd w:id="0"/>
      <w:r w:rsidR="00895C7E" w:rsidRPr="00902169">
        <w:rPr>
          <w:color w:val="000000"/>
        </w:rPr>
        <w:t>.</w:t>
      </w:r>
      <w:r w:rsidRPr="00902169">
        <w:rPr>
          <w:color w:val="000000"/>
        </w:rPr>
        <w:t xml:space="preserve">2021 года № </w:t>
      </w:r>
      <w:r w:rsidR="00D714A2">
        <w:rPr>
          <w:color w:val="000000"/>
        </w:rPr>
        <w:t>113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1A454A">
        <w:rPr>
          <w:b/>
          <w:color w:val="000000"/>
          <w:sz w:val="28"/>
          <w:szCs w:val="28"/>
        </w:rPr>
        <w:t>Кавалерского</w:t>
      </w:r>
      <w:r w:rsidR="00DA5AAC" w:rsidRPr="00DA5AAC">
        <w:rPr>
          <w:b/>
          <w:color w:val="000000"/>
          <w:sz w:val="28"/>
          <w:szCs w:val="28"/>
        </w:rPr>
        <w:t xml:space="preserve"> сельского поселения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="00AC5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 w:rsidR="00AC5850" w:rsidRPr="00AC58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 w:rsidR="00AC5850" w:rsidRPr="00AC58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1A454A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r w:rsidR="001A454A">
        <w:rPr>
          <w:color w:val="000000"/>
          <w:sz w:val="28"/>
          <w:szCs w:val="28"/>
        </w:rPr>
        <w:t>Кавалерского</w:t>
      </w:r>
      <w:r w:rsidR="00AC5850" w:rsidRPr="00AC5850">
        <w:rPr>
          <w:color w:val="000000"/>
          <w:sz w:val="28"/>
          <w:szCs w:val="28"/>
        </w:rPr>
        <w:t xml:space="preserve"> сельского поселения</w:t>
      </w:r>
      <w:r w:rsidR="00AC5850" w:rsidRPr="00700821">
        <w:rPr>
          <w:color w:val="000000"/>
          <w:sz w:val="28"/>
          <w:szCs w:val="28"/>
        </w:rPr>
        <w:t xml:space="preserve"> </w:t>
      </w:r>
      <w:r w:rsidR="001A454A">
        <w:rPr>
          <w:color w:val="000000"/>
          <w:sz w:val="28"/>
          <w:szCs w:val="28"/>
        </w:rPr>
        <w:t>(далее – а</w:t>
      </w:r>
      <w:r w:rsidRPr="00700821">
        <w:rPr>
          <w:color w:val="000000"/>
          <w:sz w:val="28"/>
          <w:szCs w:val="28"/>
        </w:rPr>
        <w:t>дминистрация).</w:t>
      </w:r>
    </w:p>
    <w:p w:rsidR="00D03C14" w:rsidRPr="00700821" w:rsidRDefault="001A454A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Должностными лицами а</w:t>
      </w:r>
      <w:r w:rsidR="00D03C14" w:rsidRPr="00700821">
        <w:rPr>
          <w:color w:val="000000"/>
          <w:sz w:val="28"/>
          <w:szCs w:val="28"/>
        </w:rPr>
        <w:t xml:space="preserve">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специалисты а</w:t>
      </w:r>
      <w:r w:rsidR="00AC5850">
        <w:rPr>
          <w:color w:val="000000"/>
          <w:sz w:val="28"/>
          <w:szCs w:val="28"/>
        </w:rPr>
        <w:t>дминистрации</w:t>
      </w:r>
      <w:r w:rsidR="00D03C14"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>
        <w:rPr>
          <w:color w:val="000000"/>
          <w:sz w:val="28"/>
          <w:szCs w:val="28"/>
        </w:rPr>
        <w:t>а</w:t>
      </w:r>
      <w:r w:rsidR="00D03C14" w:rsidRPr="00700821">
        <w:rPr>
          <w:color w:val="000000"/>
          <w:sz w:val="28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F0886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C5850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1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1A454A">
        <w:rPr>
          <w:sz w:val="28"/>
          <w:szCs w:val="28"/>
        </w:rPr>
        <w:t>а</w:t>
      </w:r>
      <w:r w:rsidR="00FA769F">
        <w:rPr>
          <w:sz w:val="28"/>
          <w:szCs w:val="28"/>
        </w:rPr>
        <w:t>дминистрации поселения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3) обязательные требования по уборке территории </w:t>
      </w:r>
      <w:r w:rsidR="001A454A">
        <w:rPr>
          <w:color w:val="000000"/>
          <w:sz w:val="28"/>
          <w:szCs w:val="28"/>
        </w:rPr>
        <w:t>Кавалерского</w:t>
      </w:r>
      <w:r w:rsidR="00FA769F" w:rsidRPr="00AC585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1A454A">
        <w:rPr>
          <w:color w:val="000000"/>
          <w:sz w:val="28"/>
          <w:szCs w:val="28"/>
        </w:rPr>
        <w:t>Кавалерского</w:t>
      </w:r>
      <w:r w:rsidR="00FA769F" w:rsidRPr="00AC585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DF0886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="00DF0886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4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кие мероприятия осуществляются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Кавалерского</w:t>
      </w:r>
      <w:r w:rsidR="00DF08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ии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</w:t>
      </w:r>
      <w:r w:rsidR="00DF0886">
        <w:rPr>
          <w:color w:val="000000"/>
          <w:sz w:val="28"/>
          <w:szCs w:val="28"/>
        </w:rPr>
        <w:t xml:space="preserve"> Информирован</w:t>
      </w:r>
      <w:r w:rsidR="001A454A">
        <w:rPr>
          <w:color w:val="000000"/>
          <w:sz w:val="28"/>
          <w:szCs w:val="28"/>
        </w:rPr>
        <w:t>ие осуществляется а</w:t>
      </w:r>
      <w:r w:rsidRPr="00700821">
        <w:rPr>
          <w:color w:val="000000"/>
          <w:sz w:val="28"/>
          <w:szCs w:val="28"/>
        </w:rP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1A454A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дминистрации</w:t>
      </w:r>
      <w:r w:rsidRPr="00700821">
        <w:rPr>
          <w:rStyle w:val="aff2"/>
          <w:color w:val="000000"/>
          <w:sz w:val="28"/>
          <w:szCs w:val="28"/>
        </w:rPr>
        <w:footnoteReference w:id="7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 xml:space="preserve">информационно-телекоммуникационной сети «Интернет» (далее – официальный сайт </w:t>
      </w:r>
      <w:r w:rsidR="001A454A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1A454A">
        <w:rPr>
          <w:color w:val="000000"/>
          <w:sz w:val="28"/>
          <w:szCs w:val="28"/>
        </w:rPr>
        <w:t>официального сайта а</w:t>
      </w:r>
      <w:r w:rsidRPr="00700821">
        <w:rPr>
          <w:color w:val="000000"/>
          <w:sz w:val="28"/>
          <w:szCs w:val="28"/>
        </w:rPr>
        <w:t>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состоянии на официальном сайте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F088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DF088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 w:rsidR="00DF08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твляется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истрации, подписываемым главой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  <w:r w:rsidR="00DF0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</w:t>
      </w:r>
      <w:r w:rsidR="001A454A">
        <w:rPr>
          <w:rFonts w:ascii="Times New Roman" w:hAnsi="Times New Roman" w:cs="Times New Roman"/>
          <w:color w:val="000000"/>
          <w:sz w:val="28"/>
          <w:szCs w:val="28"/>
        </w:rPr>
        <w:t>ым годом, на официальном сайте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902169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902169">
        <w:rPr>
          <w:color w:val="000000"/>
          <w:sz w:val="28"/>
          <w:szCs w:val="28"/>
        </w:rPr>
        <w:t>а</w:t>
      </w:r>
      <w:r w:rsidR="00CF4FE7">
        <w:rPr>
          <w:color w:val="000000"/>
          <w:sz w:val="28"/>
          <w:szCs w:val="28"/>
        </w:rPr>
        <w:t xml:space="preserve">дминистрации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редостережения рассматривается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4FE7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</w:t>
      </w:r>
      <w:r w:rsidR="00CF4FE7">
        <w:rPr>
          <w:rFonts w:ascii="Times New Roman" w:hAnsi="Times New Roman" w:cs="Times New Roman"/>
          <w:color w:val="000000"/>
          <w:sz w:val="28"/>
          <w:szCs w:val="28"/>
        </w:rPr>
        <w:t xml:space="preserve">змещается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в специальном разделе, посвященном контрольной деятельности, письменного разъяснения, подписанного главой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4FE7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ездное обследование проводятся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ятся на основании распоряжения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</w:t>
      </w:r>
      <w:r w:rsidR="004A0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осуществлять контроль, на основании задания главы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4FE7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9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="00D03C14" w:rsidRPr="00CF4FE7">
        <w:rPr>
          <w:rFonts w:ascii="Times New Roman" w:hAnsi="Times New Roman" w:cs="Times New Roman"/>
          <w:sz w:val="28"/>
          <w:szCs w:val="28"/>
        </w:rPr>
        <w:t>законом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="00D03C14" w:rsidRPr="00CF4FE7">
        <w:rPr>
          <w:rFonts w:ascii="Times New Roman" w:hAnsi="Times New Roman" w:cs="Times New Roman"/>
          <w:sz w:val="28"/>
          <w:szCs w:val="28"/>
        </w:rPr>
        <w:t>законом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распоряжением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CF4FE7">
        <w:rPr>
          <w:color w:val="000000"/>
          <w:sz w:val="28"/>
          <w:szCs w:val="28"/>
          <w:shd w:val="clear" w:color="auto" w:fill="FFFFFF"/>
        </w:rPr>
        <w:t xml:space="preserve"> </w:t>
      </w:r>
      <w:r w:rsidR="00D03C14" w:rsidRPr="00CF4FE7">
        <w:rPr>
          <w:sz w:val="28"/>
          <w:szCs w:val="28"/>
        </w:rPr>
        <w:t>Правилами</w:t>
      </w:r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9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лицами, вправе представить в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9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9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уполномоченным органам или должностным лицам информации для рассмотрения вопроса о привлечении к отве</w:t>
      </w:r>
      <w:r w:rsidR="003131DA">
        <w:rPr>
          <w:rFonts w:ascii="Times New Roman" w:hAnsi="Times New Roman" w:cs="Times New Roman"/>
          <w:color w:val="000000"/>
          <w:sz w:val="28"/>
          <w:szCs w:val="28"/>
        </w:rPr>
        <w:t>тственности и (или) применение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мер, предусмотренных </w:t>
      </w:r>
      <w:r w:rsidRPr="00CF4FE7">
        <w:rPr>
          <w:rFonts w:ascii="Times New Roman" w:hAnsi="Times New Roman" w:cs="Times New Roman"/>
          <w:sz w:val="28"/>
          <w:szCs w:val="28"/>
        </w:rPr>
        <w:t>частью 2 статьи 90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902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8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F4FE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</w:t>
      </w:r>
      <w:r w:rsidR="00362112">
        <w:rPr>
          <w:color w:val="000000"/>
          <w:sz w:val="28"/>
          <w:szCs w:val="28"/>
        </w:rPr>
        <w:t>кой Федерации предусмотрена а</w:t>
      </w:r>
      <w:r w:rsidRPr="00700821">
        <w:rPr>
          <w:color w:val="000000"/>
          <w:sz w:val="28"/>
          <w:szCs w:val="28"/>
        </w:rPr>
        <w:t xml:space="preserve">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</w:t>
      </w:r>
      <w:r w:rsidRPr="00700821">
        <w:rPr>
          <w:color w:val="000000"/>
          <w:sz w:val="28"/>
          <w:szCs w:val="28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362112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</w:t>
      </w:r>
      <w:r w:rsidRPr="00895C7E">
        <w:rPr>
          <w:rFonts w:ascii="Times New Roman" w:hAnsi="Times New Roman" w:cs="Times New Roman"/>
          <w:color w:val="000000"/>
          <w:sz w:val="28"/>
          <w:szCs w:val="28"/>
        </w:rPr>
        <w:t xml:space="preserve">лицом на личном приеме главы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9186C" w:rsidRPr="00895C7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895C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5C7E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09186C" w:rsidRPr="00895C7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895C7E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09186C" w:rsidRPr="00895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7E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рассматривается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главой а</w:t>
      </w:r>
      <w:r w:rsidR="0009186C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</w:t>
      </w:r>
      <w:r w:rsidRPr="008629D3">
        <w:rPr>
          <w:rStyle w:val="aff2"/>
          <w:color w:val="000000"/>
          <w:sz w:val="24"/>
          <w:szCs w:val="24"/>
        </w:rPr>
        <w:footnoteReference w:id="10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алобу, может быть восстановлен 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 Жалоба на решение </w:t>
      </w:r>
      <w:r w:rsidR="003621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190A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9186C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091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62112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 Кавалерского</w:t>
      </w:r>
      <w:r w:rsidR="000866E6" w:rsidRPr="00086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1C7DE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3. Согласно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Положению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ГД«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D714A2"/>
    <w:sectPr w:rsidR="00915CD9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64" w:rsidRDefault="002D7F64" w:rsidP="00D03C14">
      <w:r>
        <w:separator/>
      </w:r>
    </w:p>
  </w:endnote>
  <w:endnote w:type="continuationSeparator" w:id="0">
    <w:p w:rsidR="002D7F64" w:rsidRDefault="002D7F6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64" w:rsidRDefault="002D7F64" w:rsidP="00D03C14">
      <w:r>
        <w:separator/>
      </w:r>
    </w:p>
  </w:footnote>
  <w:footnote w:type="continuationSeparator" w:id="0">
    <w:p w:rsidR="002D7F64" w:rsidRDefault="002D7F64" w:rsidP="00D03C14">
      <w:r>
        <w:continuationSeparator/>
      </w:r>
    </w:p>
  </w:footnote>
  <w:footnote w:id="1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="00AC5850">
        <w:rPr>
          <w:color w:val="000000"/>
          <w:shd w:val="clear" w:color="auto" w:fill="FFFFFF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="00DF0886">
        <w:rPr>
          <w:color w:val="000000"/>
          <w:shd w:val="clear" w:color="auto" w:fill="FFFFFF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4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7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="00DF0886">
        <w:rPr>
          <w:color w:val="000000"/>
          <w:shd w:val="clear" w:color="auto" w:fill="FFFFFF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8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  <w:footnote w:id="10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61050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714A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61050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714A2">
      <w:rPr>
        <w:rStyle w:val="afb"/>
        <w:noProof/>
      </w:rPr>
      <w:t>24</w:t>
    </w:r>
    <w:r>
      <w:rPr>
        <w:rStyle w:val="afb"/>
      </w:rPr>
      <w:fldChar w:fldCharType="end"/>
    </w:r>
  </w:p>
  <w:p w:rsidR="00E90F25" w:rsidRDefault="00D714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22400"/>
    <w:rsid w:val="000866E6"/>
    <w:rsid w:val="0008797B"/>
    <w:rsid w:val="0009186C"/>
    <w:rsid w:val="000D50DE"/>
    <w:rsid w:val="000F5E76"/>
    <w:rsid w:val="00190AD4"/>
    <w:rsid w:val="001A454A"/>
    <w:rsid w:val="001C7DE5"/>
    <w:rsid w:val="002D7F64"/>
    <w:rsid w:val="002E4DC1"/>
    <w:rsid w:val="003131DA"/>
    <w:rsid w:val="00362112"/>
    <w:rsid w:val="004A0BCC"/>
    <w:rsid w:val="00610502"/>
    <w:rsid w:val="0068374B"/>
    <w:rsid w:val="007100F8"/>
    <w:rsid w:val="00717921"/>
    <w:rsid w:val="00810FF4"/>
    <w:rsid w:val="008629D3"/>
    <w:rsid w:val="00895C7E"/>
    <w:rsid w:val="00902169"/>
    <w:rsid w:val="00935631"/>
    <w:rsid w:val="009806D5"/>
    <w:rsid w:val="009D07EB"/>
    <w:rsid w:val="00AC5850"/>
    <w:rsid w:val="00BB3363"/>
    <w:rsid w:val="00CF4FE7"/>
    <w:rsid w:val="00D01845"/>
    <w:rsid w:val="00D03C14"/>
    <w:rsid w:val="00D714A2"/>
    <w:rsid w:val="00D834BB"/>
    <w:rsid w:val="00DA5AAC"/>
    <w:rsid w:val="00DB0F56"/>
    <w:rsid w:val="00DF0886"/>
    <w:rsid w:val="00E048FB"/>
    <w:rsid w:val="00E37DF6"/>
    <w:rsid w:val="00EA3BC5"/>
    <w:rsid w:val="00FA769F"/>
    <w:rsid w:val="00FC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3B8426"/>
  <w15:docId w15:val="{1523EA66-0302-4FC0-867D-40FA94B3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77FB-1F24-4327-8927-FFC51802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6566</Words>
  <Characters>37429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Симонова</cp:lastModifiedBy>
  <cp:revision>8</cp:revision>
  <dcterms:created xsi:type="dcterms:W3CDTF">2022-03-18T09:24:00Z</dcterms:created>
  <dcterms:modified xsi:type="dcterms:W3CDTF">2022-03-29T06:29:00Z</dcterms:modified>
</cp:coreProperties>
</file>